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B02C4" w14:textId="1615B9EA" w:rsidR="009D5BAB" w:rsidRPr="009D56B1" w:rsidRDefault="009D5BAB" w:rsidP="009D5BAB">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w:t>
      </w:r>
      <w:r w:rsidR="007D32DD">
        <w:rPr>
          <w:noProof w:val="0"/>
          <w:sz w:val="24"/>
          <w:lang w:eastAsia="zh-CN"/>
        </w:rPr>
        <w:t>100</w:t>
      </w:r>
      <w:r w:rsidRPr="009D56B1">
        <w:rPr>
          <w:bCs/>
          <w:noProof w:val="0"/>
          <w:sz w:val="24"/>
        </w:rPr>
        <w:tab/>
      </w:r>
      <w:r w:rsidR="004459A8" w:rsidRPr="004459A8">
        <w:rPr>
          <w:bCs/>
          <w:noProof w:val="0"/>
          <w:sz w:val="24"/>
          <w:lang w:eastAsia="ja-JP"/>
        </w:rPr>
        <w:t>R2-1712631</w:t>
      </w:r>
    </w:p>
    <w:p w14:paraId="16D5C317" w14:textId="41D774AE" w:rsidR="009D5BAB" w:rsidRPr="009D56B1" w:rsidRDefault="007D32DD" w:rsidP="009D5BAB">
      <w:pPr>
        <w:pStyle w:val="Header"/>
        <w:tabs>
          <w:tab w:val="right" w:pos="9639"/>
        </w:tabs>
        <w:rPr>
          <w:bCs/>
          <w:i/>
          <w:noProof w:val="0"/>
          <w:sz w:val="24"/>
        </w:rPr>
      </w:pPr>
      <w:r w:rsidRPr="007D32DD">
        <w:rPr>
          <w:noProof w:val="0"/>
          <w:sz w:val="24"/>
          <w:lang w:eastAsia="zh-CN"/>
        </w:rPr>
        <w:t>Reno, USA, 27th November – 1st December 2017</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44035C9E"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0D6CFB">
        <w:rPr>
          <w:rFonts w:eastAsia="SimSun" w:cs="Arial"/>
          <w:b/>
          <w:bCs/>
          <w:sz w:val="24"/>
          <w:lang w:val="en-US"/>
        </w:rPr>
        <w:t>9.1.1</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6DDF229D"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A070D6" w:rsidRPr="00A070D6">
        <w:rPr>
          <w:rFonts w:ascii="Arial" w:hAnsi="Arial" w:cs="Arial"/>
          <w:b/>
          <w:bCs/>
          <w:sz w:val="24"/>
        </w:rPr>
        <w:t>Discussion on path switching option 2</w:t>
      </w:r>
    </w:p>
    <w:p w14:paraId="50A28E98" w14:textId="6A503C45"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6AE89EE0" w14:textId="0CEC4E22" w:rsidR="000062EC" w:rsidRDefault="00740D3E"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 xml:space="preserve">In RAN2#99bis, </w:t>
      </w:r>
      <w:r w:rsidR="00823285">
        <w:rPr>
          <w:rFonts w:ascii="Times New Roman" w:hAnsi="Times New Roman"/>
          <w:sz w:val="20"/>
          <w:szCs w:val="20"/>
          <w:lang w:eastAsia="ja-JP"/>
        </w:rPr>
        <w:t>we looked at SA2 LS and discussed whether prior RAN2 agreements are</w:t>
      </w:r>
      <w:r w:rsidR="003001E5">
        <w:rPr>
          <w:rFonts w:ascii="Times New Roman" w:hAnsi="Times New Roman"/>
          <w:sz w:val="20"/>
          <w:szCs w:val="20"/>
          <w:lang w:eastAsia="ja-JP"/>
        </w:rPr>
        <w:t xml:space="preserve"> aligned with those assumptions and a</w:t>
      </w:r>
      <w:r w:rsidR="00823285">
        <w:rPr>
          <w:rFonts w:ascii="Times New Roman" w:hAnsi="Times New Roman"/>
          <w:sz w:val="20"/>
          <w:szCs w:val="20"/>
          <w:lang w:eastAsia="ja-JP"/>
        </w:rPr>
        <w:t xml:space="preserve"> response LS was sent to SA2 based in discussion in RAN2 </w:t>
      </w:r>
      <w:sdt>
        <w:sdtPr>
          <w:rPr>
            <w:rFonts w:ascii="Times New Roman" w:hAnsi="Times New Roman"/>
            <w:sz w:val="20"/>
            <w:szCs w:val="20"/>
            <w:lang w:eastAsia="ja-JP"/>
          </w:rPr>
          <w:id w:val="417606514"/>
          <w:citation/>
        </w:sdtPr>
        <w:sdtEndPr/>
        <w:sdtContent>
          <w:r w:rsidR="00825E9B">
            <w:rPr>
              <w:rFonts w:ascii="Times New Roman" w:hAnsi="Times New Roman"/>
              <w:sz w:val="20"/>
              <w:szCs w:val="20"/>
              <w:lang w:eastAsia="ja-JP"/>
            </w:rPr>
            <w:fldChar w:fldCharType="begin"/>
          </w:r>
          <w:r w:rsidR="00825E9B">
            <w:rPr>
              <w:rFonts w:ascii="Times New Roman" w:hAnsi="Times New Roman"/>
              <w:sz w:val="20"/>
              <w:szCs w:val="20"/>
              <w:lang w:eastAsia="ja-JP"/>
            </w:rPr>
            <w:instrText xml:space="preserve"> CITATION R2LS \l 1033 </w:instrText>
          </w:r>
          <w:r w:rsidR="00825E9B">
            <w:rPr>
              <w:rFonts w:ascii="Times New Roman" w:hAnsi="Times New Roman"/>
              <w:sz w:val="20"/>
              <w:szCs w:val="20"/>
              <w:lang w:eastAsia="ja-JP"/>
            </w:rPr>
            <w:fldChar w:fldCharType="separate"/>
          </w:r>
          <w:r w:rsidR="00825E9B" w:rsidRPr="00825E9B">
            <w:rPr>
              <w:rFonts w:ascii="Times New Roman" w:hAnsi="Times New Roman"/>
              <w:noProof/>
              <w:sz w:val="20"/>
              <w:szCs w:val="20"/>
              <w:lang w:eastAsia="ja-JP"/>
            </w:rPr>
            <w:t>[1]</w:t>
          </w:r>
          <w:r w:rsidR="00825E9B">
            <w:rPr>
              <w:rFonts w:ascii="Times New Roman" w:hAnsi="Times New Roman"/>
              <w:sz w:val="20"/>
              <w:szCs w:val="20"/>
              <w:lang w:eastAsia="ja-JP"/>
            </w:rPr>
            <w:fldChar w:fldCharType="end"/>
          </w:r>
        </w:sdtContent>
      </w:sdt>
      <w:r w:rsidR="00823285">
        <w:rPr>
          <w:rFonts w:ascii="Times New Roman" w:hAnsi="Times New Roman"/>
          <w:sz w:val="20"/>
          <w:szCs w:val="20"/>
          <w:lang w:eastAsia="ja-JP"/>
        </w:rPr>
        <w:t xml:space="preserve">. One of the outstanding aspect where further RAN2 discussion was deemed necessary </w:t>
      </w:r>
      <w:r w:rsidR="005F39AB">
        <w:rPr>
          <w:rFonts w:ascii="Times New Roman" w:hAnsi="Times New Roman"/>
          <w:sz w:val="20"/>
          <w:szCs w:val="20"/>
          <w:lang w:eastAsia="ja-JP"/>
        </w:rPr>
        <w:t>is</w:t>
      </w:r>
      <w:r w:rsidR="00823285">
        <w:rPr>
          <w:rFonts w:ascii="Times New Roman" w:hAnsi="Times New Roman"/>
          <w:sz w:val="20"/>
          <w:szCs w:val="20"/>
          <w:lang w:eastAsia="ja-JP"/>
        </w:rPr>
        <w:t xml:space="preserve"> on key issue 5 (service continuity). Specifically, RAN2 agreed that further discussion is needed to confirm if option 2 </w:t>
      </w:r>
      <w:r w:rsidR="005F39AB">
        <w:rPr>
          <w:rFonts w:ascii="Times New Roman" w:hAnsi="Times New Roman"/>
          <w:sz w:val="20"/>
          <w:szCs w:val="20"/>
          <w:lang w:eastAsia="ja-JP"/>
        </w:rPr>
        <w:t xml:space="preserve">for path switching </w:t>
      </w:r>
      <w:r w:rsidR="00825E9B">
        <w:rPr>
          <w:rFonts w:ascii="Times New Roman" w:hAnsi="Times New Roman"/>
          <w:sz w:val="20"/>
          <w:szCs w:val="20"/>
          <w:lang w:eastAsia="ja-JP"/>
        </w:rPr>
        <w:t>as in section 5.1.2.5.1</w:t>
      </w:r>
      <w:sdt>
        <w:sdtPr>
          <w:rPr>
            <w:rFonts w:ascii="Times New Roman" w:hAnsi="Times New Roman"/>
            <w:sz w:val="20"/>
            <w:szCs w:val="20"/>
            <w:lang w:eastAsia="ja-JP"/>
          </w:rPr>
          <w:id w:val="1506939380"/>
          <w:citation/>
        </w:sdtPr>
        <w:sdtEndPr/>
        <w:sdtContent>
          <w:r w:rsidR="00825E9B">
            <w:rPr>
              <w:rFonts w:ascii="Times New Roman" w:hAnsi="Times New Roman"/>
              <w:sz w:val="20"/>
              <w:szCs w:val="20"/>
              <w:lang w:eastAsia="ja-JP"/>
            </w:rPr>
            <w:fldChar w:fldCharType="begin"/>
          </w:r>
          <w:r w:rsidR="00825E9B">
            <w:rPr>
              <w:rFonts w:ascii="Times New Roman" w:hAnsi="Times New Roman"/>
              <w:sz w:val="20"/>
              <w:szCs w:val="20"/>
              <w:lang w:eastAsia="ja-JP"/>
            </w:rPr>
            <w:instrText xml:space="preserve"> CITATION TR36746 \l 1033 </w:instrText>
          </w:r>
          <w:r w:rsidR="00825E9B">
            <w:rPr>
              <w:rFonts w:ascii="Times New Roman" w:hAnsi="Times New Roman"/>
              <w:sz w:val="20"/>
              <w:szCs w:val="20"/>
              <w:lang w:eastAsia="ja-JP"/>
            </w:rPr>
            <w:fldChar w:fldCharType="separate"/>
          </w:r>
          <w:r w:rsidR="00825E9B">
            <w:rPr>
              <w:rFonts w:ascii="Times New Roman" w:hAnsi="Times New Roman"/>
              <w:noProof/>
              <w:sz w:val="20"/>
              <w:szCs w:val="20"/>
              <w:lang w:eastAsia="ja-JP"/>
            </w:rPr>
            <w:t xml:space="preserve"> </w:t>
          </w:r>
          <w:r w:rsidR="00825E9B" w:rsidRPr="00825E9B">
            <w:rPr>
              <w:rFonts w:ascii="Times New Roman" w:hAnsi="Times New Roman"/>
              <w:noProof/>
              <w:sz w:val="20"/>
              <w:szCs w:val="20"/>
              <w:lang w:eastAsia="ja-JP"/>
            </w:rPr>
            <w:t>[2]</w:t>
          </w:r>
          <w:r w:rsidR="00825E9B">
            <w:rPr>
              <w:rFonts w:ascii="Times New Roman" w:hAnsi="Times New Roman"/>
              <w:sz w:val="20"/>
              <w:szCs w:val="20"/>
              <w:lang w:eastAsia="ja-JP"/>
            </w:rPr>
            <w:fldChar w:fldCharType="end"/>
          </w:r>
        </w:sdtContent>
      </w:sdt>
      <w:r w:rsidR="00823285">
        <w:rPr>
          <w:rFonts w:ascii="Times New Roman" w:hAnsi="Times New Roman"/>
          <w:sz w:val="20"/>
          <w:szCs w:val="20"/>
          <w:lang w:eastAsia="ja-JP"/>
        </w:rPr>
        <w:t xml:space="preserve"> meets the afore-mentioned assumptions. In this contribution, we analyze this issue and present our views.</w:t>
      </w:r>
    </w:p>
    <w:p w14:paraId="5DCEF4FA" w14:textId="6451D6AD" w:rsidR="00555440" w:rsidRPr="001C137C" w:rsidRDefault="000760CC" w:rsidP="00555440">
      <w:pPr>
        <w:pStyle w:val="Tdoc"/>
      </w:pPr>
      <w:r>
        <w:t>Discussion</w:t>
      </w:r>
    </w:p>
    <w:p w14:paraId="32393A53" w14:textId="77777777" w:rsidR="00DF0D1D" w:rsidRDefault="00676EF7" w:rsidP="00DF0D1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On the key issue 5 pertaining to service continuity, SA2 identified </w:t>
      </w:r>
      <w:r w:rsidR="00DF0D1D">
        <w:rPr>
          <w:rFonts w:ascii="Times New Roman" w:eastAsia="Times New Roman" w:hAnsi="Times New Roman"/>
          <w:bCs/>
          <w:sz w:val="20"/>
          <w:szCs w:val="20"/>
          <w:lang w:val="en-GB" w:eastAsia="zh-CN"/>
        </w:rPr>
        <w:t>the following aspect to be studied in TS 23.733:</w:t>
      </w:r>
    </w:p>
    <w:tbl>
      <w:tblPr>
        <w:tblStyle w:val="TableGrid"/>
        <w:tblW w:w="0" w:type="auto"/>
        <w:tblLook w:val="04A0" w:firstRow="1" w:lastRow="0" w:firstColumn="1" w:lastColumn="0" w:noHBand="0" w:noVBand="1"/>
      </w:tblPr>
      <w:tblGrid>
        <w:gridCol w:w="9629"/>
      </w:tblGrid>
      <w:tr w:rsidR="00DF0D1D" w14:paraId="134D076C" w14:textId="77777777" w:rsidTr="00DF0D1D">
        <w:tc>
          <w:tcPr>
            <w:tcW w:w="9629" w:type="dxa"/>
          </w:tcPr>
          <w:p w14:paraId="077AF671" w14:textId="533E7699" w:rsidR="00DF0D1D" w:rsidRPr="00DF0D1D" w:rsidRDefault="00DF0D1D" w:rsidP="00DF0D1D">
            <w:pPr>
              <w:pStyle w:val="B1"/>
              <w:rPr>
                <w:lang w:val="en-GB" w:eastAsia="zh-CN"/>
              </w:rPr>
            </w:pPr>
            <w:r>
              <w:rPr>
                <w:lang w:val="en-GB" w:eastAsia="zh-CN"/>
              </w:rPr>
              <w:t xml:space="preserve">How to guarantee service continuity for an </w:t>
            </w:r>
            <w:r>
              <w:rPr>
                <w:noProof/>
                <w:lang w:val="en-GB"/>
              </w:rPr>
              <w:t>eRemote-UE</w:t>
            </w:r>
            <w:r>
              <w:rPr>
                <w:lang w:val="en-GB" w:eastAsia="zh-CN"/>
              </w:rPr>
              <w:t xml:space="preserve"> switching between a direct path and an indirect path.</w:t>
            </w:r>
          </w:p>
        </w:tc>
      </w:tr>
    </w:tbl>
    <w:p w14:paraId="29EA7478" w14:textId="77777777" w:rsidR="00DF0D1D" w:rsidRDefault="00DF0D1D" w:rsidP="00DF0D1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712E20D9" w14:textId="6956C8A7" w:rsidR="00DF0D1D" w:rsidRPr="00DF0D1D" w:rsidRDefault="00DF0D1D" w:rsidP="00DF0D1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Additionally, SA2 identified preference for solutions 6.5.2 on the issue of </w:t>
      </w:r>
      <w:r w:rsidR="003D66B2">
        <w:rPr>
          <w:rFonts w:ascii="Times New Roman" w:eastAsia="Times New Roman" w:hAnsi="Times New Roman"/>
          <w:bCs/>
          <w:sz w:val="20"/>
          <w:szCs w:val="20"/>
          <w:lang w:val="en-GB" w:eastAsia="zh-CN"/>
        </w:rPr>
        <w:t>eRemote-</w:t>
      </w:r>
      <w:r>
        <w:rPr>
          <w:rFonts w:ascii="Times New Roman" w:eastAsia="Times New Roman" w:hAnsi="Times New Roman"/>
          <w:bCs/>
          <w:sz w:val="20"/>
          <w:szCs w:val="20"/>
          <w:lang w:val="en-GB" w:eastAsia="zh-CN"/>
        </w:rPr>
        <w:t xml:space="preserve">UE path switch, i.e. </w:t>
      </w:r>
      <w:r w:rsidRPr="00DF0D1D">
        <w:rPr>
          <w:rFonts w:ascii="Times New Roman" w:eastAsia="Times New Roman" w:hAnsi="Times New Roman"/>
          <w:bCs/>
          <w:sz w:val="20"/>
          <w:szCs w:val="20"/>
          <w:lang w:val="en-GB" w:eastAsia="zh-CN"/>
        </w:rPr>
        <w:t>path switch is triggered by an RRC message from the eRemote-UE</w:t>
      </w:r>
      <w:r>
        <w:rPr>
          <w:rFonts w:ascii="Times New Roman" w:eastAsia="Times New Roman" w:hAnsi="Times New Roman"/>
          <w:bCs/>
          <w:sz w:val="20"/>
          <w:szCs w:val="20"/>
          <w:lang w:val="en-GB" w:eastAsia="zh-CN"/>
        </w:rPr>
        <w:t>.</w:t>
      </w:r>
      <w:r w:rsidR="00676EF7" w:rsidRPr="00676EF7">
        <w:rPr>
          <w:rFonts w:ascii="Times New Roman" w:eastAsia="Times New Roman" w:hAnsi="Times New Roman"/>
          <w:bCs/>
          <w:sz w:val="20"/>
          <w:szCs w:val="20"/>
          <w:lang w:val="en-GB" w:eastAsia="zh-CN"/>
        </w:rPr>
        <w:t xml:space="preserve"> </w:t>
      </w:r>
      <w:r w:rsidRPr="00DF0D1D">
        <w:rPr>
          <w:rFonts w:ascii="Times New Roman" w:eastAsia="Times New Roman" w:hAnsi="Times New Roman"/>
          <w:bCs/>
          <w:sz w:val="20"/>
          <w:szCs w:val="20"/>
          <w:lang w:val="en-GB" w:eastAsia="zh-CN"/>
        </w:rPr>
        <w:t xml:space="preserve">The relevant </w:t>
      </w:r>
      <w:r w:rsidR="00382C87">
        <w:rPr>
          <w:rFonts w:ascii="Times New Roman" w:eastAsia="Times New Roman" w:hAnsi="Times New Roman"/>
          <w:bCs/>
          <w:sz w:val="20"/>
          <w:szCs w:val="20"/>
          <w:lang w:val="en-GB" w:eastAsia="zh-CN"/>
        </w:rPr>
        <w:t>solution</w:t>
      </w:r>
      <w:r w:rsidRPr="00DF0D1D">
        <w:rPr>
          <w:rFonts w:ascii="Times New Roman" w:eastAsia="Times New Roman" w:hAnsi="Times New Roman"/>
          <w:bCs/>
          <w:sz w:val="20"/>
          <w:szCs w:val="20"/>
          <w:lang w:val="en-GB" w:eastAsia="zh-CN"/>
        </w:rPr>
        <w:t xml:space="preserve"> in 23.733 for Key issue 5 is: </w:t>
      </w:r>
    </w:p>
    <w:tbl>
      <w:tblPr>
        <w:tblStyle w:val="TableGrid"/>
        <w:tblW w:w="0" w:type="auto"/>
        <w:tblLook w:val="04A0" w:firstRow="1" w:lastRow="0" w:firstColumn="1" w:lastColumn="0" w:noHBand="0" w:noVBand="1"/>
      </w:tblPr>
      <w:tblGrid>
        <w:gridCol w:w="9629"/>
      </w:tblGrid>
      <w:tr w:rsidR="00DF0D1D" w14:paraId="23B8C3BE" w14:textId="77777777" w:rsidTr="00DF0D1D">
        <w:tc>
          <w:tcPr>
            <w:tcW w:w="9629" w:type="dxa"/>
          </w:tcPr>
          <w:p w14:paraId="6130AF0F" w14:textId="6960931E" w:rsidR="00DF0D1D" w:rsidRDefault="00DF0D1D"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sidRPr="00262781">
              <w:rPr>
                <w:rFonts w:ascii="Times New Roman" w:eastAsia="Times New Roman" w:hAnsi="Times New Roman"/>
                <w:b/>
                <w:bCs/>
                <w:sz w:val="20"/>
                <w:szCs w:val="20"/>
                <w:lang w:eastAsia="zh-CN"/>
              </w:rPr>
              <w:t>Solution 6.5.2:</w:t>
            </w:r>
            <w:r w:rsidRPr="00DF0D1D">
              <w:rPr>
                <w:rFonts w:ascii="Times New Roman" w:eastAsia="Times New Roman" w:hAnsi="Times New Roman"/>
                <w:bCs/>
                <w:sz w:val="20"/>
                <w:szCs w:val="20"/>
                <w:lang w:eastAsia="zh-CN"/>
              </w:rPr>
              <w:t xml:space="preserve"> path switch is triggered by an RRC message from the eRemote-UE. The eRemote-UE should obtain the C-RNTI of eRelay-UE according to the selected Solution 6.2.1 for Key Issue 2. Based on the selected Solution 6.1.5 for Key Issue 1, the eNB has the eProSe authorization information so there is no need for EPC to authorize the eRemote-UE in path switch. This solution follows the Handover procedure specified in TS 23.401 [4] and has no impact on EPC.</w:t>
            </w:r>
          </w:p>
        </w:tc>
      </w:tr>
    </w:tbl>
    <w:p w14:paraId="0404E070" w14:textId="77777777" w:rsidR="00DF0D1D" w:rsidRDefault="00DF0D1D"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55DC57BD" w14:textId="333B7132" w:rsidR="00C030FE" w:rsidRDefault="00DF0D1D"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Firstly, it should be clarified if this discussion and the associated solution is applicable only for the path switch from direct to indirect mode. We assume that this simply an editorial issue and that there is no reason why the same question cannot be asked of the indirect to direct switching. Nevertheless, i</w:t>
      </w:r>
      <w:r w:rsidRPr="00DF0D1D">
        <w:rPr>
          <w:rFonts w:ascii="Times New Roman" w:eastAsia="Times New Roman" w:hAnsi="Times New Roman"/>
          <w:bCs/>
          <w:sz w:val="20"/>
          <w:szCs w:val="20"/>
          <w:lang w:val="en-GB" w:eastAsia="zh-CN"/>
        </w:rPr>
        <w:t xml:space="preserve">n terms of </w:t>
      </w:r>
      <w:r w:rsidR="005F39AB">
        <w:rPr>
          <w:rFonts w:ascii="Times New Roman" w:eastAsia="Times New Roman" w:hAnsi="Times New Roman"/>
          <w:bCs/>
          <w:sz w:val="20"/>
          <w:szCs w:val="20"/>
          <w:lang w:val="en-GB" w:eastAsia="zh-CN"/>
        </w:rPr>
        <w:t xml:space="preserve">the key difference between </w:t>
      </w:r>
      <w:r w:rsidRPr="00DF0D1D">
        <w:rPr>
          <w:rFonts w:ascii="Times New Roman" w:eastAsia="Times New Roman" w:hAnsi="Times New Roman"/>
          <w:bCs/>
          <w:sz w:val="20"/>
          <w:szCs w:val="20"/>
          <w:lang w:val="en-GB" w:eastAsia="zh-CN"/>
        </w:rPr>
        <w:t xml:space="preserve">option 1 and 2 in TR 36.746, </w:t>
      </w:r>
      <w:r w:rsidR="00C030FE">
        <w:rPr>
          <w:rFonts w:ascii="Times New Roman" w:eastAsia="Times New Roman" w:hAnsi="Times New Roman"/>
          <w:bCs/>
          <w:sz w:val="20"/>
          <w:szCs w:val="20"/>
          <w:lang w:val="en-GB" w:eastAsia="zh-CN"/>
        </w:rPr>
        <w:t>there can be two ways to interpret them:</w:t>
      </w:r>
    </w:p>
    <w:p w14:paraId="7527DA30" w14:textId="24EE16E6" w:rsidR="00DF0D1D" w:rsidRDefault="00C030FE" w:rsidP="00C030FE">
      <w:pPr>
        <w:pStyle w:val="ListParagraph"/>
        <w:numPr>
          <w:ilvl w:val="0"/>
          <w:numId w:val="15"/>
        </w:numPr>
        <w:overflowPunct w:val="0"/>
        <w:autoSpaceDE w:val="0"/>
        <w:autoSpaceDN w:val="0"/>
        <w:adjustRightInd w:val="0"/>
        <w:spacing w:before="24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One interpretation is that</w:t>
      </w:r>
      <w:r w:rsidR="00DF0D1D" w:rsidRPr="00C030FE">
        <w:rPr>
          <w:rFonts w:ascii="Times New Roman" w:eastAsia="Times New Roman" w:hAnsi="Times New Roman"/>
          <w:bCs/>
          <w:sz w:val="20"/>
          <w:szCs w:val="20"/>
          <w:lang w:val="en-GB" w:eastAsia="zh-CN"/>
        </w:rPr>
        <w:t xml:space="preserve"> the main difference between Option 1 and 2 is the ordering of individual steps, i.e. whether the </w:t>
      </w:r>
      <w:r w:rsidR="00875052">
        <w:rPr>
          <w:rFonts w:ascii="Times New Roman" w:eastAsia="Times New Roman" w:hAnsi="Times New Roman"/>
          <w:bCs/>
          <w:sz w:val="20"/>
          <w:szCs w:val="20"/>
          <w:lang w:val="en-GB" w:eastAsia="zh-CN"/>
        </w:rPr>
        <w:t xml:space="preserve">remote </w:t>
      </w:r>
      <w:r w:rsidR="00DF0D1D" w:rsidRPr="00C030FE">
        <w:rPr>
          <w:rFonts w:ascii="Times New Roman" w:eastAsia="Times New Roman" w:hAnsi="Times New Roman"/>
          <w:bCs/>
          <w:sz w:val="20"/>
          <w:szCs w:val="20"/>
          <w:lang w:val="en-GB" w:eastAsia="zh-CN"/>
        </w:rPr>
        <w:t xml:space="preserve">UE decides to perform the path switch before or after sending the RRC </w:t>
      </w:r>
      <w:r w:rsidR="00875052">
        <w:rPr>
          <w:rFonts w:ascii="Times New Roman" w:eastAsia="Times New Roman" w:hAnsi="Times New Roman"/>
          <w:bCs/>
          <w:sz w:val="20"/>
          <w:szCs w:val="20"/>
          <w:lang w:val="en-GB" w:eastAsia="zh-CN"/>
        </w:rPr>
        <w:t>message</w:t>
      </w:r>
      <w:r w:rsidR="00DF0D1D" w:rsidRPr="00C030FE">
        <w:rPr>
          <w:rFonts w:ascii="Times New Roman" w:eastAsia="Times New Roman" w:hAnsi="Times New Roman"/>
          <w:bCs/>
          <w:sz w:val="20"/>
          <w:szCs w:val="20"/>
          <w:lang w:val="en-GB" w:eastAsia="zh-CN"/>
        </w:rPr>
        <w:t xml:space="preserve"> to the NW. So, there shouldn’t be any issue with Option 2 since the path</w:t>
      </w:r>
      <w:r w:rsidR="001933E9">
        <w:rPr>
          <w:rFonts w:ascii="Times New Roman" w:eastAsia="Times New Roman" w:hAnsi="Times New Roman"/>
          <w:bCs/>
          <w:sz w:val="20"/>
          <w:szCs w:val="20"/>
          <w:lang w:val="en-GB" w:eastAsia="zh-CN"/>
        </w:rPr>
        <w:t xml:space="preserve"> switch is still triggered by a</w:t>
      </w:r>
      <w:r w:rsidR="00DF0D1D" w:rsidRPr="00C030FE">
        <w:rPr>
          <w:rFonts w:ascii="Times New Roman" w:eastAsia="Times New Roman" w:hAnsi="Times New Roman"/>
          <w:bCs/>
          <w:sz w:val="20"/>
          <w:szCs w:val="20"/>
          <w:lang w:val="en-GB" w:eastAsia="zh-CN"/>
        </w:rPr>
        <w:t xml:space="preserve"> RRC message from the remote UE. The main concern seems to be whether Option 2 would </w:t>
      </w:r>
      <w:r w:rsidR="00A949AB">
        <w:rPr>
          <w:rFonts w:ascii="Times New Roman" w:eastAsia="Times New Roman" w:hAnsi="Times New Roman"/>
          <w:bCs/>
          <w:sz w:val="20"/>
          <w:szCs w:val="20"/>
          <w:lang w:val="en-GB" w:eastAsia="zh-CN"/>
        </w:rPr>
        <w:t xml:space="preserve">affect service continuity and </w:t>
      </w:r>
      <w:r w:rsidR="00DF0D1D" w:rsidRPr="00C030FE">
        <w:rPr>
          <w:rFonts w:ascii="Times New Roman" w:eastAsia="Times New Roman" w:hAnsi="Times New Roman"/>
          <w:bCs/>
          <w:sz w:val="20"/>
          <w:szCs w:val="20"/>
          <w:lang w:val="en-GB" w:eastAsia="zh-CN"/>
        </w:rPr>
        <w:t xml:space="preserve">limit NW control over </w:t>
      </w:r>
      <w:r w:rsidR="001933E9">
        <w:rPr>
          <w:rFonts w:ascii="Times New Roman" w:eastAsia="Times New Roman" w:hAnsi="Times New Roman"/>
          <w:bCs/>
          <w:sz w:val="20"/>
          <w:szCs w:val="20"/>
          <w:lang w:val="en-GB" w:eastAsia="zh-CN"/>
        </w:rPr>
        <w:t>the</w:t>
      </w:r>
      <w:r w:rsidR="00DF0D1D" w:rsidRPr="00C030FE">
        <w:rPr>
          <w:rFonts w:ascii="Times New Roman" w:eastAsia="Times New Roman" w:hAnsi="Times New Roman"/>
          <w:bCs/>
          <w:sz w:val="20"/>
          <w:szCs w:val="20"/>
          <w:lang w:val="en-GB" w:eastAsia="zh-CN"/>
        </w:rPr>
        <w:t xml:space="preserve"> decision of performing the path switch. If so, we observe that the NW </w:t>
      </w:r>
      <w:r w:rsidR="00A949AB">
        <w:rPr>
          <w:rFonts w:ascii="Times New Roman" w:eastAsia="Times New Roman" w:hAnsi="Times New Roman"/>
          <w:bCs/>
          <w:sz w:val="20"/>
          <w:szCs w:val="20"/>
          <w:lang w:val="en-GB" w:eastAsia="zh-CN"/>
        </w:rPr>
        <w:t xml:space="preserve">is </w:t>
      </w:r>
      <w:r w:rsidR="00DF0D1D" w:rsidRPr="00C030FE">
        <w:rPr>
          <w:rFonts w:ascii="Times New Roman" w:eastAsia="Times New Roman" w:hAnsi="Times New Roman"/>
          <w:bCs/>
          <w:sz w:val="20"/>
          <w:szCs w:val="20"/>
          <w:lang w:val="en-GB" w:eastAsia="zh-CN"/>
        </w:rPr>
        <w:t xml:space="preserve">still </w:t>
      </w:r>
      <w:r w:rsidR="00A949AB">
        <w:rPr>
          <w:rFonts w:ascii="Times New Roman" w:eastAsia="Times New Roman" w:hAnsi="Times New Roman"/>
          <w:bCs/>
          <w:sz w:val="20"/>
          <w:szCs w:val="20"/>
          <w:lang w:val="en-GB" w:eastAsia="zh-CN"/>
        </w:rPr>
        <w:t xml:space="preserve">in </w:t>
      </w:r>
      <w:r w:rsidR="00875052">
        <w:rPr>
          <w:rFonts w:ascii="Times New Roman" w:eastAsia="Times New Roman" w:hAnsi="Times New Roman"/>
          <w:bCs/>
          <w:sz w:val="20"/>
          <w:szCs w:val="20"/>
          <w:lang w:val="en-GB" w:eastAsia="zh-CN"/>
        </w:rPr>
        <w:t>control</w:t>
      </w:r>
      <w:r w:rsidR="00A949AB">
        <w:rPr>
          <w:rFonts w:ascii="Times New Roman" w:eastAsia="Times New Roman" w:hAnsi="Times New Roman"/>
          <w:bCs/>
          <w:sz w:val="20"/>
          <w:szCs w:val="20"/>
          <w:lang w:val="en-GB" w:eastAsia="zh-CN"/>
        </w:rPr>
        <w:t xml:space="preserve"> of</w:t>
      </w:r>
      <w:r w:rsidR="00875052">
        <w:rPr>
          <w:rFonts w:ascii="Times New Roman" w:eastAsia="Times New Roman" w:hAnsi="Times New Roman"/>
          <w:bCs/>
          <w:sz w:val="20"/>
          <w:szCs w:val="20"/>
          <w:lang w:val="en-GB" w:eastAsia="zh-CN"/>
        </w:rPr>
        <w:t xml:space="preserve"> the path switch procedure by the configuration of parameters that the remote UE </w:t>
      </w:r>
      <w:r w:rsidR="001933E9">
        <w:rPr>
          <w:rFonts w:ascii="Times New Roman" w:eastAsia="Times New Roman" w:hAnsi="Times New Roman"/>
          <w:bCs/>
          <w:sz w:val="20"/>
          <w:szCs w:val="20"/>
          <w:lang w:val="en-GB" w:eastAsia="zh-CN"/>
        </w:rPr>
        <w:t xml:space="preserve">ultimately </w:t>
      </w:r>
      <w:r w:rsidR="00875052">
        <w:rPr>
          <w:rFonts w:ascii="Times New Roman" w:eastAsia="Times New Roman" w:hAnsi="Times New Roman"/>
          <w:bCs/>
          <w:sz w:val="20"/>
          <w:szCs w:val="20"/>
          <w:lang w:val="en-GB" w:eastAsia="zh-CN"/>
        </w:rPr>
        <w:t xml:space="preserve">uses to initiate path switch. Moreover, the eNB </w:t>
      </w:r>
      <w:r w:rsidR="00DF0D1D" w:rsidRPr="00C030FE">
        <w:rPr>
          <w:rFonts w:ascii="Times New Roman" w:eastAsia="Times New Roman" w:hAnsi="Times New Roman"/>
          <w:bCs/>
          <w:sz w:val="20"/>
          <w:szCs w:val="20"/>
          <w:lang w:val="en-GB" w:eastAsia="zh-CN"/>
        </w:rPr>
        <w:t>has the option of rejecting the path switching decision made by the remote UE</w:t>
      </w:r>
      <w:r w:rsidR="006048DD">
        <w:rPr>
          <w:rFonts w:ascii="Times New Roman" w:eastAsia="Times New Roman" w:hAnsi="Times New Roman"/>
          <w:bCs/>
          <w:sz w:val="20"/>
          <w:szCs w:val="20"/>
          <w:lang w:val="en-GB" w:eastAsia="zh-CN"/>
        </w:rPr>
        <w:t xml:space="preserve"> (when it </w:t>
      </w:r>
      <w:r w:rsidR="00A949AB">
        <w:rPr>
          <w:rFonts w:ascii="Times New Roman" w:eastAsia="Times New Roman" w:hAnsi="Times New Roman"/>
          <w:bCs/>
          <w:sz w:val="20"/>
          <w:szCs w:val="20"/>
          <w:lang w:val="en-GB" w:eastAsia="zh-CN"/>
        </w:rPr>
        <w:t xml:space="preserve">subsequently </w:t>
      </w:r>
      <w:r w:rsidR="006048DD">
        <w:rPr>
          <w:rFonts w:ascii="Times New Roman" w:eastAsia="Times New Roman" w:hAnsi="Times New Roman"/>
          <w:bCs/>
          <w:sz w:val="20"/>
          <w:szCs w:val="20"/>
          <w:lang w:val="en-GB" w:eastAsia="zh-CN"/>
        </w:rPr>
        <w:t>sends the reconfiguration request message)</w:t>
      </w:r>
      <w:r w:rsidR="00DF0D1D" w:rsidRPr="00C030FE">
        <w:rPr>
          <w:rFonts w:ascii="Times New Roman" w:eastAsia="Times New Roman" w:hAnsi="Times New Roman"/>
          <w:bCs/>
          <w:sz w:val="20"/>
          <w:szCs w:val="20"/>
          <w:lang w:val="en-GB" w:eastAsia="zh-CN"/>
        </w:rPr>
        <w:t xml:space="preserve">, in which case the UE </w:t>
      </w:r>
      <w:r w:rsidR="006048DD">
        <w:rPr>
          <w:rFonts w:ascii="Times New Roman" w:eastAsia="Times New Roman" w:hAnsi="Times New Roman"/>
          <w:bCs/>
          <w:sz w:val="20"/>
          <w:szCs w:val="20"/>
          <w:lang w:val="en-GB" w:eastAsia="zh-CN"/>
        </w:rPr>
        <w:t xml:space="preserve">has to switch </w:t>
      </w:r>
      <w:r w:rsidR="001933E9">
        <w:rPr>
          <w:rFonts w:ascii="Times New Roman" w:eastAsia="Times New Roman" w:hAnsi="Times New Roman"/>
          <w:bCs/>
          <w:sz w:val="20"/>
          <w:szCs w:val="20"/>
          <w:lang w:val="en-GB" w:eastAsia="zh-CN"/>
        </w:rPr>
        <w:t xml:space="preserve">back </w:t>
      </w:r>
      <w:r w:rsidR="006048DD">
        <w:rPr>
          <w:rFonts w:ascii="Times New Roman" w:eastAsia="Times New Roman" w:hAnsi="Times New Roman"/>
          <w:bCs/>
          <w:sz w:val="20"/>
          <w:szCs w:val="20"/>
          <w:lang w:val="en-GB" w:eastAsia="zh-CN"/>
        </w:rPr>
        <w:t>to</w:t>
      </w:r>
      <w:r w:rsidR="00DF0D1D" w:rsidRPr="00C030FE">
        <w:rPr>
          <w:rFonts w:ascii="Times New Roman" w:eastAsia="Times New Roman" w:hAnsi="Times New Roman"/>
          <w:bCs/>
          <w:sz w:val="20"/>
          <w:szCs w:val="20"/>
          <w:lang w:val="en-GB" w:eastAsia="zh-CN"/>
        </w:rPr>
        <w:t xml:space="preserve"> the former path. Some additional signalling might be required for this purpose, which can be discussed </w:t>
      </w:r>
      <w:r w:rsidR="001933E9">
        <w:rPr>
          <w:rFonts w:ascii="Times New Roman" w:eastAsia="Times New Roman" w:hAnsi="Times New Roman"/>
          <w:bCs/>
          <w:sz w:val="20"/>
          <w:szCs w:val="20"/>
          <w:lang w:val="en-GB" w:eastAsia="zh-CN"/>
        </w:rPr>
        <w:t>further</w:t>
      </w:r>
      <w:r w:rsidR="00DF0D1D" w:rsidRPr="00C030FE">
        <w:rPr>
          <w:rFonts w:ascii="Times New Roman" w:eastAsia="Times New Roman" w:hAnsi="Times New Roman"/>
          <w:bCs/>
          <w:sz w:val="20"/>
          <w:szCs w:val="20"/>
          <w:lang w:val="en-GB" w:eastAsia="zh-CN"/>
        </w:rPr>
        <w:t>.</w:t>
      </w:r>
    </w:p>
    <w:p w14:paraId="0FE4D9C5" w14:textId="56086198" w:rsidR="00C030FE" w:rsidRDefault="00C030FE" w:rsidP="00C030FE">
      <w:pPr>
        <w:pStyle w:val="ListParagraph"/>
        <w:numPr>
          <w:ilvl w:val="0"/>
          <w:numId w:val="15"/>
        </w:num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On the other hand, </w:t>
      </w:r>
      <w:r w:rsidR="00875052">
        <w:rPr>
          <w:rFonts w:ascii="Times New Roman" w:eastAsia="Times New Roman" w:hAnsi="Times New Roman"/>
          <w:bCs/>
          <w:sz w:val="20"/>
          <w:szCs w:val="20"/>
          <w:lang w:val="en-GB" w:eastAsia="zh-CN"/>
        </w:rPr>
        <w:t xml:space="preserve">if we consider the SA2 assumption literally, i.e. the path switch has to necessarily be triggered by </w:t>
      </w:r>
      <w:r w:rsidR="006048DD">
        <w:rPr>
          <w:rFonts w:ascii="Times New Roman" w:eastAsia="Times New Roman" w:hAnsi="Times New Roman"/>
          <w:bCs/>
          <w:sz w:val="20"/>
          <w:szCs w:val="20"/>
          <w:lang w:val="en-GB" w:eastAsia="zh-CN"/>
        </w:rPr>
        <w:t>the</w:t>
      </w:r>
      <w:r w:rsidR="00875052">
        <w:rPr>
          <w:rFonts w:ascii="Times New Roman" w:eastAsia="Times New Roman" w:hAnsi="Times New Roman"/>
          <w:bCs/>
          <w:sz w:val="20"/>
          <w:szCs w:val="20"/>
          <w:lang w:val="en-GB" w:eastAsia="zh-CN"/>
        </w:rPr>
        <w:t xml:space="preserve"> RRC message</w:t>
      </w:r>
      <w:r w:rsidR="006048DD">
        <w:rPr>
          <w:rFonts w:ascii="Times New Roman" w:eastAsia="Times New Roman" w:hAnsi="Times New Roman"/>
          <w:bCs/>
          <w:sz w:val="20"/>
          <w:szCs w:val="20"/>
          <w:lang w:val="en-GB" w:eastAsia="zh-CN"/>
        </w:rPr>
        <w:t xml:space="preserve"> (i.e. measurement report)</w:t>
      </w:r>
      <w:r w:rsidR="00875052">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 xml:space="preserve">it can be argued that </w:t>
      </w:r>
      <w:r w:rsidR="00875052">
        <w:rPr>
          <w:rFonts w:ascii="Times New Roman" w:eastAsia="Times New Roman" w:hAnsi="Times New Roman"/>
          <w:bCs/>
          <w:sz w:val="20"/>
          <w:szCs w:val="20"/>
          <w:lang w:val="en-GB" w:eastAsia="zh-CN"/>
        </w:rPr>
        <w:t xml:space="preserve">in option 2, </w:t>
      </w:r>
      <w:r w:rsidRPr="00C030FE">
        <w:rPr>
          <w:rFonts w:ascii="Times New Roman" w:eastAsia="Times New Roman" w:hAnsi="Times New Roman"/>
          <w:bCs/>
          <w:sz w:val="20"/>
          <w:szCs w:val="20"/>
          <w:lang w:val="en-GB" w:eastAsia="zh-CN"/>
        </w:rPr>
        <w:t xml:space="preserve">the path switch decision has been made before the RRC message </w:t>
      </w:r>
      <w:r>
        <w:rPr>
          <w:rFonts w:ascii="Times New Roman" w:eastAsia="Times New Roman" w:hAnsi="Times New Roman"/>
          <w:bCs/>
          <w:sz w:val="20"/>
          <w:szCs w:val="20"/>
          <w:lang w:val="en-GB" w:eastAsia="zh-CN"/>
        </w:rPr>
        <w:t xml:space="preserve">containing the measurement report </w:t>
      </w:r>
      <w:r w:rsidRPr="00C030FE">
        <w:rPr>
          <w:rFonts w:ascii="Times New Roman" w:eastAsia="Times New Roman" w:hAnsi="Times New Roman"/>
          <w:bCs/>
          <w:sz w:val="20"/>
          <w:szCs w:val="20"/>
          <w:lang w:val="en-GB" w:eastAsia="zh-CN"/>
        </w:rPr>
        <w:t>is sent by the Remote UE and thus, it is at odds with SA2 assumption.</w:t>
      </w:r>
      <w:r w:rsidR="00676713">
        <w:rPr>
          <w:rFonts w:ascii="Times New Roman" w:eastAsia="Times New Roman" w:hAnsi="Times New Roman"/>
          <w:bCs/>
          <w:sz w:val="20"/>
          <w:szCs w:val="20"/>
          <w:lang w:val="en-GB" w:eastAsia="zh-CN"/>
        </w:rPr>
        <w:t xml:space="preserve"> In this case, Option 2 would not be supported and only Option 1 is considered for the path switch.</w:t>
      </w:r>
    </w:p>
    <w:p w14:paraId="00284EE1" w14:textId="5CF133BE" w:rsidR="00DF0D1D" w:rsidRDefault="00875052"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Based on the above discussion, i</w:t>
      </w:r>
      <w:r w:rsidR="00676713">
        <w:rPr>
          <w:rFonts w:ascii="Times New Roman" w:eastAsia="Times New Roman" w:hAnsi="Times New Roman"/>
          <w:bCs/>
          <w:sz w:val="20"/>
          <w:szCs w:val="20"/>
          <w:lang w:val="en-GB" w:eastAsia="zh-CN"/>
        </w:rPr>
        <w:t xml:space="preserve">n our view, </w:t>
      </w:r>
      <w:r w:rsidR="006048DD">
        <w:rPr>
          <w:rFonts w:ascii="Times New Roman" w:eastAsia="Times New Roman" w:hAnsi="Times New Roman"/>
          <w:bCs/>
          <w:sz w:val="20"/>
          <w:szCs w:val="20"/>
          <w:lang w:val="en-GB" w:eastAsia="zh-CN"/>
        </w:rPr>
        <w:t xml:space="preserve">the first interpretation makes more sense, i.e. </w:t>
      </w:r>
      <w:r w:rsidR="00676713">
        <w:rPr>
          <w:rFonts w:ascii="Times New Roman" w:eastAsia="Times New Roman" w:hAnsi="Times New Roman"/>
          <w:bCs/>
          <w:sz w:val="20"/>
          <w:szCs w:val="20"/>
          <w:lang w:val="en-GB" w:eastAsia="zh-CN"/>
        </w:rPr>
        <w:t>Option 2 can be viewed as aligned with SA2 assumption</w:t>
      </w:r>
      <w:r>
        <w:rPr>
          <w:rFonts w:ascii="Times New Roman" w:eastAsia="Times New Roman" w:hAnsi="Times New Roman"/>
          <w:bCs/>
          <w:sz w:val="20"/>
          <w:szCs w:val="20"/>
          <w:lang w:val="en-GB" w:eastAsia="zh-CN"/>
        </w:rPr>
        <w:t xml:space="preserve">s, primarily since the eNB has complete control over the path switching behaviour by virtue of the configured criteria as well as the option of explicitly </w:t>
      </w:r>
      <w:r w:rsidR="006048DD">
        <w:rPr>
          <w:rFonts w:ascii="Times New Roman" w:eastAsia="Times New Roman" w:hAnsi="Times New Roman"/>
          <w:bCs/>
          <w:sz w:val="20"/>
          <w:szCs w:val="20"/>
          <w:lang w:val="en-GB" w:eastAsia="zh-CN"/>
        </w:rPr>
        <w:t>disallowing</w:t>
      </w:r>
      <w:r>
        <w:rPr>
          <w:rFonts w:ascii="Times New Roman" w:eastAsia="Times New Roman" w:hAnsi="Times New Roman"/>
          <w:bCs/>
          <w:sz w:val="20"/>
          <w:szCs w:val="20"/>
          <w:lang w:val="en-GB" w:eastAsia="zh-CN"/>
        </w:rPr>
        <w:t xml:space="preserve"> the UE to </w:t>
      </w:r>
      <w:r w:rsidR="006048DD">
        <w:rPr>
          <w:rFonts w:ascii="Times New Roman" w:eastAsia="Times New Roman" w:hAnsi="Times New Roman"/>
          <w:bCs/>
          <w:sz w:val="20"/>
          <w:szCs w:val="20"/>
          <w:lang w:val="en-GB" w:eastAsia="zh-CN"/>
        </w:rPr>
        <w:t>switch.</w:t>
      </w:r>
    </w:p>
    <w:p w14:paraId="59DA8071" w14:textId="4CD52518" w:rsidR="00777344" w:rsidRPr="00777344" w:rsidRDefault="00777344" w:rsidP="0077734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lastRenderedPageBreak/>
        <w:t>P</w:t>
      </w:r>
      <w:r w:rsidR="00DD532A">
        <w:rPr>
          <w:rFonts w:ascii="Times New Roman" w:eastAsia="Times New Roman" w:hAnsi="Times New Roman"/>
          <w:b/>
          <w:bCs/>
          <w:sz w:val="20"/>
          <w:szCs w:val="20"/>
          <w:u w:val="single"/>
          <w:lang w:val="en-GB" w:eastAsia="zh-CN"/>
        </w:rPr>
        <w:t>roposal</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694782">
        <w:rPr>
          <w:rFonts w:ascii="Times New Roman" w:eastAsia="Times New Roman" w:hAnsi="Times New Roman"/>
          <w:bCs/>
          <w:i/>
          <w:sz w:val="20"/>
          <w:szCs w:val="20"/>
          <w:lang w:val="en-GB" w:eastAsia="zh-CN"/>
        </w:rPr>
        <w:t>Option 2 for path switching is considered to be aligned with SA2 assumptions on service continuity.</w:t>
      </w:r>
    </w:p>
    <w:p w14:paraId="50A28EC3" w14:textId="77777777" w:rsidR="008669B1" w:rsidRPr="00E0063E" w:rsidRDefault="008669B1" w:rsidP="008669B1">
      <w:pPr>
        <w:pStyle w:val="Tdoc"/>
      </w:pPr>
      <w:r w:rsidRPr="00E0063E">
        <w:t>Conclusion</w:t>
      </w:r>
    </w:p>
    <w:p w14:paraId="50A28EC4" w14:textId="76A239E5"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contributions discusses </w:t>
      </w:r>
      <w:r w:rsidR="00694782">
        <w:rPr>
          <w:rFonts w:ascii="Times New Roman" w:eastAsia="Times New Roman" w:hAnsi="Times New Roman"/>
          <w:bCs/>
          <w:sz w:val="20"/>
          <w:szCs w:val="20"/>
          <w:lang w:val="en-GB" w:eastAsia="zh-CN"/>
        </w:rPr>
        <w:t>the issue of whether Option 2 for path switching in TR 36.746 is aligned with SA2 assumption and makes the following proposal</w:t>
      </w:r>
      <w:r w:rsidR="00777344">
        <w:rPr>
          <w:rFonts w:ascii="Times New Roman" w:eastAsia="Times New Roman" w:hAnsi="Times New Roman"/>
          <w:bCs/>
          <w:sz w:val="20"/>
          <w:szCs w:val="20"/>
          <w:lang w:val="en-GB" w:eastAsia="zh-CN"/>
        </w:rPr>
        <w:t>:</w:t>
      </w:r>
    </w:p>
    <w:p w14:paraId="664DF297" w14:textId="77777777" w:rsidR="0093253E" w:rsidRPr="00777344" w:rsidRDefault="0093253E" w:rsidP="0093253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Option 2 for path switching is considered to be al</w:t>
      </w:r>
      <w:bookmarkStart w:id="1" w:name="_GoBack"/>
      <w:bookmarkEnd w:id="1"/>
      <w:r>
        <w:rPr>
          <w:rFonts w:ascii="Times New Roman" w:eastAsia="Times New Roman" w:hAnsi="Times New Roman"/>
          <w:bCs/>
          <w:i/>
          <w:sz w:val="20"/>
          <w:szCs w:val="20"/>
          <w:lang w:val="en-GB" w:eastAsia="zh-CN"/>
        </w:rPr>
        <w:t>igned with SA2 assumptions on service continuity.</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1D0F516C" w14:textId="77777777" w:rsidR="00825E9B"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825E9B" w14:paraId="39B09A00" w14:textId="77777777">
                <w:trPr>
                  <w:divId w:val="1943294566"/>
                  <w:tblCellSpacing w:w="15" w:type="dxa"/>
                </w:trPr>
                <w:tc>
                  <w:tcPr>
                    <w:tcW w:w="50" w:type="pct"/>
                    <w:hideMark/>
                  </w:tcPr>
                  <w:p w14:paraId="2ACDEBC5" w14:textId="77777777" w:rsidR="00825E9B" w:rsidRDefault="00825E9B">
                    <w:pPr>
                      <w:pStyle w:val="Bibliography"/>
                      <w:rPr>
                        <w:noProof/>
                        <w:sz w:val="24"/>
                        <w:szCs w:val="24"/>
                      </w:rPr>
                    </w:pPr>
                    <w:r>
                      <w:rPr>
                        <w:noProof/>
                      </w:rPr>
                      <w:t xml:space="preserve">[1] </w:t>
                    </w:r>
                  </w:p>
                </w:tc>
                <w:tc>
                  <w:tcPr>
                    <w:tcW w:w="0" w:type="auto"/>
                    <w:hideMark/>
                  </w:tcPr>
                  <w:p w14:paraId="38DAB723" w14:textId="77777777" w:rsidR="00825E9B" w:rsidRDefault="00825E9B">
                    <w:pPr>
                      <w:pStyle w:val="Bibliography"/>
                      <w:rPr>
                        <w:noProof/>
                      </w:rPr>
                    </w:pPr>
                    <w:r>
                      <w:rPr>
                        <w:noProof/>
                      </w:rPr>
                      <w:t xml:space="preserve">"R2-1711861, "Reply LS on FS_REAR study outcome", RAN2". </w:t>
                    </w:r>
                  </w:p>
                </w:tc>
              </w:tr>
              <w:tr w:rsidR="00825E9B" w14:paraId="4B93FED0" w14:textId="77777777">
                <w:trPr>
                  <w:divId w:val="1943294566"/>
                  <w:tblCellSpacing w:w="15" w:type="dxa"/>
                </w:trPr>
                <w:tc>
                  <w:tcPr>
                    <w:tcW w:w="50" w:type="pct"/>
                    <w:hideMark/>
                  </w:tcPr>
                  <w:p w14:paraId="4710B523" w14:textId="77777777" w:rsidR="00825E9B" w:rsidRDefault="00825E9B">
                    <w:pPr>
                      <w:pStyle w:val="Bibliography"/>
                      <w:rPr>
                        <w:noProof/>
                      </w:rPr>
                    </w:pPr>
                    <w:r>
                      <w:rPr>
                        <w:noProof/>
                      </w:rPr>
                      <w:t xml:space="preserve">[2] </w:t>
                    </w:r>
                  </w:p>
                </w:tc>
                <w:tc>
                  <w:tcPr>
                    <w:tcW w:w="0" w:type="auto"/>
                    <w:hideMark/>
                  </w:tcPr>
                  <w:p w14:paraId="6701CFF6" w14:textId="77777777" w:rsidR="00825E9B" w:rsidRDefault="00825E9B">
                    <w:pPr>
                      <w:pStyle w:val="Bibliography"/>
                      <w:rPr>
                        <w:noProof/>
                      </w:rPr>
                    </w:pPr>
                    <w:r>
                      <w:rPr>
                        <w:noProof/>
                      </w:rPr>
                      <w:t xml:space="preserve">"3GPP TR 36.746 v15.0.0, "Study on further enhancements to LTE D2D, UE to network relays for IoT and wearables"". </w:t>
                    </w:r>
                  </w:p>
                </w:tc>
              </w:tr>
            </w:tbl>
            <w:p w14:paraId="07A3415D" w14:textId="77777777" w:rsidR="00825E9B" w:rsidRDefault="00825E9B">
              <w:pPr>
                <w:divId w:val="1943294566"/>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0"/>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E3ED3" w:rsidRDefault="004E3ED3">
      <w:pPr>
        <w:spacing w:after="0" w:line="240" w:lineRule="auto"/>
      </w:pPr>
      <w:r>
        <w:separator/>
      </w:r>
    </w:p>
  </w:endnote>
  <w:endnote w:type="continuationSeparator" w:id="0">
    <w:p w14:paraId="50A28EF3" w14:textId="77777777" w:rsidR="004E3ED3" w:rsidRDefault="004E3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4E3ED3" w:rsidRDefault="004E3ED3"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59A8">
      <w:rPr>
        <w:rFonts w:ascii="Arial" w:hAnsi="Arial" w:cs="Arial"/>
        <w:b/>
        <w:noProof/>
        <w:sz w:val="18"/>
        <w:szCs w:val="18"/>
      </w:rPr>
      <w:t>2</w:t>
    </w:r>
    <w:r>
      <w:rPr>
        <w:rFonts w:ascii="Arial" w:hAnsi="Arial" w:cs="Arial"/>
        <w:b/>
        <w:sz w:val="18"/>
        <w:szCs w:val="18"/>
      </w:rPr>
      <w:fldChar w:fldCharType="end"/>
    </w:r>
  </w:p>
  <w:p w14:paraId="50A28EF5" w14:textId="77777777" w:rsidR="004E3ED3" w:rsidRDefault="004E3E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E3ED3" w:rsidRDefault="004E3ED3">
      <w:pPr>
        <w:spacing w:after="0" w:line="240" w:lineRule="auto"/>
      </w:pPr>
      <w:r>
        <w:separator/>
      </w:r>
    </w:p>
  </w:footnote>
  <w:footnote w:type="continuationSeparator" w:id="0">
    <w:p w14:paraId="50A28EF1" w14:textId="77777777" w:rsidR="004E3ED3" w:rsidRDefault="004E3E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58EB7318"/>
    <w:multiLevelType w:val="hybridMultilevel"/>
    <w:tmpl w:val="20F80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0"/>
  </w:num>
  <w:num w:numId="3">
    <w:abstractNumId w:val="8"/>
  </w:num>
  <w:num w:numId="4">
    <w:abstractNumId w:val="7"/>
  </w:num>
  <w:num w:numId="5">
    <w:abstractNumId w:val="1"/>
    <w:lvlOverride w:ilvl="0">
      <w:startOverride w:val="1"/>
    </w:lvlOverride>
  </w:num>
  <w:num w:numId="6">
    <w:abstractNumId w:val="3"/>
    <w:lvlOverride w:ilvl="0">
      <w:startOverride w:val="2"/>
    </w:lvlOverride>
  </w:num>
  <w:num w:numId="7">
    <w:abstractNumId w:val="13"/>
  </w:num>
  <w:num w:numId="8">
    <w:abstractNumId w:val="6"/>
  </w:num>
  <w:num w:numId="9">
    <w:abstractNumId w:val="4"/>
  </w:num>
  <w:num w:numId="10">
    <w:abstractNumId w:val="11"/>
  </w:num>
  <w:num w:numId="11">
    <w:abstractNumId w:val="14"/>
  </w:num>
  <w:num w:numId="12">
    <w:abstractNumId w:val="2"/>
  </w:num>
  <w:num w:numId="13">
    <w:abstractNumId w:val="5"/>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632AE"/>
    <w:rsid w:val="00066057"/>
    <w:rsid w:val="00071BD0"/>
    <w:rsid w:val="000760CC"/>
    <w:rsid w:val="0007638E"/>
    <w:rsid w:val="00077473"/>
    <w:rsid w:val="00096596"/>
    <w:rsid w:val="000D6CFB"/>
    <w:rsid w:val="000E493C"/>
    <w:rsid w:val="000F1C37"/>
    <w:rsid w:val="00100001"/>
    <w:rsid w:val="0011610B"/>
    <w:rsid w:val="00143F5D"/>
    <w:rsid w:val="00144CD4"/>
    <w:rsid w:val="00147C5C"/>
    <w:rsid w:val="00151E30"/>
    <w:rsid w:val="00154CC9"/>
    <w:rsid w:val="00160710"/>
    <w:rsid w:val="0016207C"/>
    <w:rsid w:val="0016488C"/>
    <w:rsid w:val="00171180"/>
    <w:rsid w:val="00175B7F"/>
    <w:rsid w:val="00175DCB"/>
    <w:rsid w:val="001933E9"/>
    <w:rsid w:val="00195430"/>
    <w:rsid w:val="001A793C"/>
    <w:rsid w:val="001B7098"/>
    <w:rsid w:val="001C137C"/>
    <w:rsid w:val="001C6E8B"/>
    <w:rsid w:val="001E221E"/>
    <w:rsid w:val="00203693"/>
    <w:rsid w:val="0020567B"/>
    <w:rsid w:val="00253F58"/>
    <w:rsid w:val="00255F2A"/>
    <w:rsid w:val="00260222"/>
    <w:rsid w:val="00262781"/>
    <w:rsid w:val="00263354"/>
    <w:rsid w:val="00274F99"/>
    <w:rsid w:val="00276574"/>
    <w:rsid w:val="002769B9"/>
    <w:rsid w:val="00291433"/>
    <w:rsid w:val="00291DB2"/>
    <w:rsid w:val="00293F66"/>
    <w:rsid w:val="0029495D"/>
    <w:rsid w:val="002A5F0F"/>
    <w:rsid w:val="002A78E6"/>
    <w:rsid w:val="002B17B0"/>
    <w:rsid w:val="002B2F0A"/>
    <w:rsid w:val="002F04F8"/>
    <w:rsid w:val="002F153B"/>
    <w:rsid w:val="002F432E"/>
    <w:rsid w:val="003001E5"/>
    <w:rsid w:val="00330823"/>
    <w:rsid w:val="00332851"/>
    <w:rsid w:val="00336D1D"/>
    <w:rsid w:val="003379D6"/>
    <w:rsid w:val="00337A0E"/>
    <w:rsid w:val="00345654"/>
    <w:rsid w:val="0035278E"/>
    <w:rsid w:val="00361EF9"/>
    <w:rsid w:val="00382C87"/>
    <w:rsid w:val="00384CB8"/>
    <w:rsid w:val="00396B24"/>
    <w:rsid w:val="003A766F"/>
    <w:rsid w:val="003B424F"/>
    <w:rsid w:val="003B6208"/>
    <w:rsid w:val="003B6BC4"/>
    <w:rsid w:val="003C2812"/>
    <w:rsid w:val="003D1D55"/>
    <w:rsid w:val="003D66B2"/>
    <w:rsid w:val="003E76DD"/>
    <w:rsid w:val="003F0F74"/>
    <w:rsid w:val="0040277F"/>
    <w:rsid w:val="004035EF"/>
    <w:rsid w:val="00412F14"/>
    <w:rsid w:val="00415F96"/>
    <w:rsid w:val="00416235"/>
    <w:rsid w:val="00424635"/>
    <w:rsid w:val="00433DA4"/>
    <w:rsid w:val="0043655F"/>
    <w:rsid w:val="00437AB1"/>
    <w:rsid w:val="00440C74"/>
    <w:rsid w:val="004459A8"/>
    <w:rsid w:val="00445B7E"/>
    <w:rsid w:val="00453DB6"/>
    <w:rsid w:val="0045665A"/>
    <w:rsid w:val="00460EBA"/>
    <w:rsid w:val="004873A1"/>
    <w:rsid w:val="0049247B"/>
    <w:rsid w:val="004941A2"/>
    <w:rsid w:val="004B2F1A"/>
    <w:rsid w:val="004D6C2B"/>
    <w:rsid w:val="004E2339"/>
    <w:rsid w:val="004E3975"/>
    <w:rsid w:val="004E3ED3"/>
    <w:rsid w:val="005067A7"/>
    <w:rsid w:val="00511AF4"/>
    <w:rsid w:val="005214C0"/>
    <w:rsid w:val="005231DC"/>
    <w:rsid w:val="00523734"/>
    <w:rsid w:val="005279F9"/>
    <w:rsid w:val="00555440"/>
    <w:rsid w:val="0055706A"/>
    <w:rsid w:val="00593190"/>
    <w:rsid w:val="005A4656"/>
    <w:rsid w:val="005A7CEA"/>
    <w:rsid w:val="005E3E1B"/>
    <w:rsid w:val="005E4E14"/>
    <w:rsid w:val="005F39AB"/>
    <w:rsid w:val="006048DD"/>
    <w:rsid w:val="00625D8E"/>
    <w:rsid w:val="00627647"/>
    <w:rsid w:val="00633024"/>
    <w:rsid w:val="00667231"/>
    <w:rsid w:val="00676713"/>
    <w:rsid w:val="00676EF7"/>
    <w:rsid w:val="00694782"/>
    <w:rsid w:val="006A27E5"/>
    <w:rsid w:val="006C65A8"/>
    <w:rsid w:val="006D0058"/>
    <w:rsid w:val="006D512C"/>
    <w:rsid w:val="006D7CC2"/>
    <w:rsid w:val="006E0F37"/>
    <w:rsid w:val="006F631D"/>
    <w:rsid w:val="00705D31"/>
    <w:rsid w:val="007158F5"/>
    <w:rsid w:val="00723298"/>
    <w:rsid w:val="00732A41"/>
    <w:rsid w:val="00732CD4"/>
    <w:rsid w:val="007336B5"/>
    <w:rsid w:val="00740D3E"/>
    <w:rsid w:val="00743313"/>
    <w:rsid w:val="00777344"/>
    <w:rsid w:val="00781376"/>
    <w:rsid w:val="00786EC6"/>
    <w:rsid w:val="00791A9C"/>
    <w:rsid w:val="00792327"/>
    <w:rsid w:val="00797358"/>
    <w:rsid w:val="007A2068"/>
    <w:rsid w:val="007A49CD"/>
    <w:rsid w:val="007D042C"/>
    <w:rsid w:val="007D05E3"/>
    <w:rsid w:val="007D32DD"/>
    <w:rsid w:val="00813FBF"/>
    <w:rsid w:val="00823285"/>
    <w:rsid w:val="00825E9B"/>
    <w:rsid w:val="00827742"/>
    <w:rsid w:val="00835599"/>
    <w:rsid w:val="00861C7A"/>
    <w:rsid w:val="008648A6"/>
    <w:rsid w:val="008669B1"/>
    <w:rsid w:val="00875052"/>
    <w:rsid w:val="00875F14"/>
    <w:rsid w:val="008775ED"/>
    <w:rsid w:val="00883EF2"/>
    <w:rsid w:val="008848AB"/>
    <w:rsid w:val="00897CC2"/>
    <w:rsid w:val="008A3B9F"/>
    <w:rsid w:val="008A3EC6"/>
    <w:rsid w:val="008B0017"/>
    <w:rsid w:val="008B7DB0"/>
    <w:rsid w:val="008D2846"/>
    <w:rsid w:val="008E03BE"/>
    <w:rsid w:val="008E5071"/>
    <w:rsid w:val="00915CAD"/>
    <w:rsid w:val="00925869"/>
    <w:rsid w:val="0093253E"/>
    <w:rsid w:val="009331B4"/>
    <w:rsid w:val="00934516"/>
    <w:rsid w:val="00943FF6"/>
    <w:rsid w:val="00944290"/>
    <w:rsid w:val="009459D5"/>
    <w:rsid w:val="0094797B"/>
    <w:rsid w:val="00952743"/>
    <w:rsid w:val="00955F6D"/>
    <w:rsid w:val="009573C2"/>
    <w:rsid w:val="009A301E"/>
    <w:rsid w:val="009A3832"/>
    <w:rsid w:val="009B6A2D"/>
    <w:rsid w:val="009D5BAB"/>
    <w:rsid w:val="009E7171"/>
    <w:rsid w:val="009F758B"/>
    <w:rsid w:val="00A070D6"/>
    <w:rsid w:val="00A3157F"/>
    <w:rsid w:val="00A44954"/>
    <w:rsid w:val="00A45F0D"/>
    <w:rsid w:val="00A5035B"/>
    <w:rsid w:val="00A601C3"/>
    <w:rsid w:val="00A63B12"/>
    <w:rsid w:val="00A824AF"/>
    <w:rsid w:val="00A86A88"/>
    <w:rsid w:val="00A92667"/>
    <w:rsid w:val="00A949AB"/>
    <w:rsid w:val="00AB388C"/>
    <w:rsid w:val="00AC4F72"/>
    <w:rsid w:val="00AD20FE"/>
    <w:rsid w:val="00AE13FE"/>
    <w:rsid w:val="00AE5BAD"/>
    <w:rsid w:val="00AF256D"/>
    <w:rsid w:val="00B14023"/>
    <w:rsid w:val="00B20B32"/>
    <w:rsid w:val="00B329F9"/>
    <w:rsid w:val="00B45EDF"/>
    <w:rsid w:val="00B74D9C"/>
    <w:rsid w:val="00B76EA2"/>
    <w:rsid w:val="00B92FEE"/>
    <w:rsid w:val="00BA2CEB"/>
    <w:rsid w:val="00BC6E36"/>
    <w:rsid w:val="00BD4C5D"/>
    <w:rsid w:val="00BE0DBD"/>
    <w:rsid w:val="00C030FE"/>
    <w:rsid w:val="00C10CE1"/>
    <w:rsid w:val="00C27475"/>
    <w:rsid w:val="00C348A8"/>
    <w:rsid w:val="00C47BFB"/>
    <w:rsid w:val="00C641CB"/>
    <w:rsid w:val="00C67B49"/>
    <w:rsid w:val="00C73BA9"/>
    <w:rsid w:val="00C8595C"/>
    <w:rsid w:val="00C90D45"/>
    <w:rsid w:val="00C977E9"/>
    <w:rsid w:val="00CB6AB5"/>
    <w:rsid w:val="00CE5D88"/>
    <w:rsid w:val="00CE70AB"/>
    <w:rsid w:val="00D0160E"/>
    <w:rsid w:val="00D30389"/>
    <w:rsid w:val="00D30D35"/>
    <w:rsid w:val="00D4144E"/>
    <w:rsid w:val="00D4639F"/>
    <w:rsid w:val="00D65AAE"/>
    <w:rsid w:val="00D74365"/>
    <w:rsid w:val="00D75EC2"/>
    <w:rsid w:val="00D82BFE"/>
    <w:rsid w:val="00D94525"/>
    <w:rsid w:val="00DC299B"/>
    <w:rsid w:val="00DD532A"/>
    <w:rsid w:val="00DE207A"/>
    <w:rsid w:val="00DF07FB"/>
    <w:rsid w:val="00DF0D1D"/>
    <w:rsid w:val="00DF25A3"/>
    <w:rsid w:val="00E0063E"/>
    <w:rsid w:val="00E10C75"/>
    <w:rsid w:val="00E13016"/>
    <w:rsid w:val="00E267E6"/>
    <w:rsid w:val="00E31E41"/>
    <w:rsid w:val="00E32368"/>
    <w:rsid w:val="00E42BBE"/>
    <w:rsid w:val="00E53137"/>
    <w:rsid w:val="00E60548"/>
    <w:rsid w:val="00E65894"/>
    <w:rsid w:val="00E6786C"/>
    <w:rsid w:val="00E76581"/>
    <w:rsid w:val="00E93113"/>
    <w:rsid w:val="00E936F6"/>
    <w:rsid w:val="00EB0968"/>
    <w:rsid w:val="00EC1C57"/>
    <w:rsid w:val="00ED00AF"/>
    <w:rsid w:val="00ED7949"/>
    <w:rsid w:val="00EE3B7D"/>
    <w:rsid w:val="00F14233"/>
    <w:rsid w:val="00F16547"/>
    <w:rsid w:val="00F16840"/>
    <w:rsid w:val="00F2103E"/>
    <w:rsid w:val="00F239D6"/>
    <w:rsid w:val="00F25073"/>
    <w:rsid w:val="00F27189"/>
    <w:rsid w:val="00F37FEE"/>
    <w:rsid w:val="00F443D7"/>
    <w:rsid w:val="00F6097D"/>
    <w:rsid w:val="00F71990"/>
    <w:rsid w:val="00F77B6D"/>
    <w:rsid w:val="00F83629"/>
    <w:rsid w:val="00FA03CA"/>
    <w:rsid w:val="00FC16BC"/>
    <w:rsid w:val="00FC2EDB"/>
    <w:rsid w:val="00FD039C"/>
    <w:rsid w:val="00FE1F87"/>
    <w:rsid w:val="00FF04BC"/>
    <w:rsid w:val="00FF13DA"/>
    <w:rsid w:val="00FF23F1"/>
    <w:rsid w:val="00FF4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customStyle="1" w:styleId="B1Char">
    <w:name w:val="B1 Char"/>
    <w:link w:val="B1"/>
    <w:locked/>
    <w:rsid w:val="00DF0D1D"/>
    <w:rPr>
      <w:lang w:val="x-none"/>
    </w:rPr>
  </w:style>
  <w:style w:type="paragraph" w:customStyle="1" w:styleId="B1">
    <w:name w:val="B1"/>
    <w:basedOn w:val="List"/>
    <w:link w:val="B1Char"/>
    <w:qFormat/>
    <w:rsid w:val="00DF0D1D"/>
    <w:pPr>
      <w:spacing w:after="180" w:line="240" w:lineRule="auto"/>
      <w:ind w:left="568" w:hanging="284"/>
      <w:contextualSpacing w:val="0"/>
    </w:pPr>
    <w:rPr>
      <w:sz w:val="20"/>
      <w:szCs w:val="20"/>
      <w:lang w:val="x-none"/>
    </w:rPr>
  </w:style>
  <w:style w:type="paragraph" w:styleId="List">
    <w:name w:val="List"/>
    <w:basedOn w:val="Normal"/>
    <w:uiPriority w:val="99"/>
    <w:semiHidden/>
    <w:unhideWhenUsed/>
    <w:rsid w:val="00DF0D1D"/>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323885">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2519535">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207694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95027844">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8784851">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3323369">
      <w:bodyDiv w:val="1"/>
      <w:marLeft w:val="0"/>
      <w:marRight w:val="0"/>
      <w:marTop w:val="0"/>
      <w:marBottom w:val="0"/>
      <w:divBdr>
        <w:top w:val="none" w:sz="0" w:space="0" w:color="auto"/>
        <w:left w:val="none" w:sz="0" w:space="0" w:color="auto"/>
        <w:bottom w:val="none" w:sz="0" w:space="0" w:color="auto"/>
        <w:right w:val="none" w:sz="0" w:space="0" w:color="auto"/>
      </w:divBdr>
    </w:div>
    <w:div w:id="161887611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44433031">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94333928">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43294566">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26146440">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R2LS</b:Tag>
    <b:SourceType>ConferenceProceedings</b:SourceType>
    <b:Guid>{74FEC54A-B563-4117-972B-91EE4F7775F5}</b:Guid>
    <b:Title>R2-1711861, "Reply LS on FS_REAR study outcome", RAN2</b:Title>
    <b:RefOrder>1</b:RefOrder>
  </b:Source>
  <b:Source>
    <b:Tag>TR36746</b:Tag>
    <b:SourceType>ConferenceProceedings</b:SourceType>
    <b:Guid>{6AB77A38-0E26-4D2B-957C-60419C6D2F1F}</b:Guid>
    <b:Title>3GPP TR 36.746 v15.0.0, "Study on further enhancements to LTE D2D, UE to network relays for IoT and wearables"</b:Title>
    <b:RefOrder>2</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2C8D3FBA-0344-40BF-AF0D-8B7D787F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2</Pages>
  <Words>751</Words>
  <Characters>3713</Characters>
  <Application>Microsoft Office Word</Application>
  <DocSecurity>0</DocSecurity>
  <Lines>62</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153</cp:revision>
  <dcterms:created xsi:type="dcterms:W3CDTF">2017-08-12T02:26:00Z</dcterms:created>
  <dcterms:modified xsi:type="dcterms:W3CDTF">2017-11-17T04:08:00Z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2017-11-17 04:08:41Z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